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Questions:</w:t>
      </w:r>
      <w:r>
        <w:t xml:space="preserve"> </w:t>
      </w:r>
      <w:r>
        <w:t xml:space="preserve">The</w:t>
      </w:r>
      <w:r>
        <w:t xml:space="preserve"> </w:t>
      </w:r>
      <w:r>
        <w:t xml:space="preserve">quotient</w:t>
      </w:r>
      <w:r>
        <w:t xml:space="preserve"> </w:t>
      </w:r>
      <w:r>
        <w:t xml:space="preserve">rule</w:t>
      </w:r>
    </w:p>
    <w:p>
      <w:pPr>
        <w:pStyle w:val="Author"/>
      </w:pPr>
      <w:r>
        <w:t xml:space="preserve">Sara</w:t>
      </w:r>
      <w:r>
        <w:t xml:space="preserve"> </w:t>
      </w:r>
      <w:r>
        <w:t xml:space="preserve">Delgado</w:t>
      </w:r>
      <w:r>
        <w:t xml:space="preserve"> </w:t>
      </w:r>
      <w:r>
        <w:t xml:space="preserve">Garcia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</w:t>
      </w:r>
      <w:r>
        <w:t xml:space="preserve"> </w:t>
      </w:r>
      <w:r>
        <w:t xml:space="preserve">selection</w:t>
      </w:r>
      <w:r>
        <w:t xml:space="preserve"> </w:t>
      </w:r>
      <w:r>
        <w:t xml:space="preserve">of</w:t>
      </w:r>
      <w:r>
        <w:t xml:space="preserve"> </w:t>
      </w:r>
      <w:r>
        <w:t xml:space="preserve">questions</w:t>
      </w:r>
      <w:r>
        <w:t xml:space="preserve"> </w:t>
      </w:r>
      <w:r>
        <w:t xml:space="preserve">for</w:t>
      </w:r>
      <w:r>
        <w:t xml:space="preserve"> </w:t>
      </w:r>
      <w:r>
        <w:t xml:space="preserve">the</w:t>
      </w:r>
      <w:r>
        <w:t xml:space="preserve"> </w:t>
      </w:r>
      <w:r>
        <w:t xml:space="preserve">study</w:t>
      </w:r>
      <w:r>
        <w:t xml:space="preserve"> </w:t>
      </w:r>
      <w:r>
        <w:t xml:space="preserve">guide</w:t>
      </w:r>
      <w:r>
        <w:t xml:space="preserve"> </w:t>
      </w:r>
      <w:r>
        <w:t xml:space="preserve">on</w:t>
      </w:r>
      <w:r>
        <w:t xml:space="preserve"> </w:t>
      </w:r>
      <w:r>
        <w:t xml:space="preserve">the</w:t>
      </w:r>
      <w:r>
        <w:t xml:space="preserve"> </w:t>
      </w:r>
      <w:r>
        <w:t xml:space="preserve">quotient</w:t>
      </w:r>
      <w:r>
        <w:t xml:space="preserve"> </w:t>
      </w:r>
      <w:r>
        <w:t xml:space="preserve">rule.</w:t>
      </w:r>
    </w:p>
    <w:p>
      <w:pPr>
        <w:pStyle w:val="FirstParagraph"/>
      </w:pPr>
      <w:r>
        <w:rPr>
          <w:i/>
          <w:iCs/>
        </w:rPr>
        <w:t xml:space="preserve">Before attempting these questions, it is highly recommended that you read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Guide: The quotient rule.</w:t>
        </w:r>
      </w:hyperlink>
      <w:r>
        <w:rPr>
          <w:i/>
          <w:iCs/>
        </w:rPr>
        <w:t xml:space="preserve">.</w:t>
      </w:r>
    </w:p>
    <w:p>
      <w:pPr>
        <w:pStyle w:val="BodyText"/>
      </w:pPr>
      <w:r>
        <w:t xml:space="preserve">Differentiate the following functions using the quotient rule.</w:t>
      </w:r>
    </w:p>
    <w:p>
      <w:pPr>
        <w:pStyle w:val="BodyText"/>
      </w:pPr>
      <w:r>
        <w:t xml:space="preserve">1.1.</w:t>
      </w:r>
      <w:r>
        <w:t xml:space="preserve"> </w:t>
      </w:r>
      <m:oMath>
        <m:r>
          <m:t> </m:t>
        </m:r>
        <m:f>
          <m:fPr>
            <m:type m:val="bar"/>
          </m:fPr>
          <m:num>
            <m:sSup>
              <m:e>
                <m:r>
                  <m:t>e</m:t>
                </m:r>
              </m:e>
              <m:sup>
                <m:r>
                  <m:t>x</m:t>
                </m:r>
              </m:sup>
            </m:sSup>
          </m:num>
          <m:den>
            <m:r>
              <m:t>x</m:t>
            </m:r>
          </m:den>
        </m:f>
      </m:oMath>
    </w:p>
    <w:p>
      <w:pPr>
        <w:pStyle w:val="BodyText"/>
      </w:pPr>
      <w:r>
        <w:t xml:space="preserve">1.2.</w:t>
      </w:r>
      <w:r>
        <w:t xml:space="preserve"> </w:t>
      </w:r>
      <m:oMath>
        <m:r>
          <m:t> </m:t>
        </m:r>
        <m:f>
          <m:fPr>
            <m:type m:val="bar"/>
          </m:fPr>
          <m:num>
            <m:sSup>
              <m:e>
                <m:r>
                  <m:t>e</m:t>
                </m:r>
              </m:e>
              <m:sup>
                <m:r>
                  <m:t>7</m:t>
                </m:r>
                <m:r>
                  <m:t>x</m:t>
                </m:r>
              </m:sup>
            </m:sSup>
          </m:num>
          <m:den>
            <m:sSup>
              <m:e>
                <m:r>
                  <m:t>x</m:t>
                </m:r>
              </m:e>
              <m:sup>
                <m:r>
                  <m:t>5</m:t>
                </m:r>
              </m:sup>
            </m:sSup>
          </m:den>
        </m:f>
      </m:oMath>
    </w:p>
    <w:p>
      <w:pPr>
        <w:pStyle w:val="BodyText"/>
      </w:pPr>
      <w:r>
        <w:t xml:space="preserve">1.3.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ln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</m:num>
          <m:den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</m:den>
        </m:f>
      </m:oMath>
    </w:p>
    <w:p>
      <w:pPr>
        <w:pStyle w:val="BodyText"/>
      </w:pPr>
      <w:r>
        <w:t xml:space="preserve">1.4.</w:t>
      </w:r>
      <w:r>
        <w:t xml:space="preserve"> </w:t>
      </w:r>
      <m:oMath>
        <m:r>
          <m:t> </m:t>
        </m:r>
        <m:f>
          <m:fPr>
            <m:type m:val="bar"/>
          </m:fPr>
          <m:num>
            <m:sSup>
              <m:e>
                <m:r>
                  <m:t>e</m:t>
                </m:r>
              </m:e>
              <m:sup>
                <m:r>
                  <m:rPr>
                    <m:sty m:val="p"/>
                  </m:rPr>
                  <m:t>−</m:t>
                </m:r>
                <m:r>
                  <m:t>x</m:t>
                </m:r>
              </m:sup>
            </m:sSup>
          </m:num>
          <m:den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r>
              <m:t>11</m:t>
            </m:r>
            <m:r>
              <m:t>x</m:t>
            </m:r>
            <m:r>
              <m:rPr>
                <m:sty m:val="p"/>
              </m:rPr>
              <m:t>−</m:t>
            </m:r>
            <m:r>
              <m:t>2</m:t>
            </m:r>
          </m:den>
        </m:f>
      </m:oMath>
    </w:p>
    <w:p>
      <w:pPr>
        <w:pStyle w:val="BodyText"/>
      </w:pPr>
      <w:r>
        <w:t xml:space="preserve">1.5.</w:t>
      </w:r>
      <w:r>
        <w:t xml:space="preserve"> </w:t>
      </w:r>
      <m:oMath>
        <m:r>
          <m:t> </m:t>
        </m:r>
        <m:f>
          <m:fPr>
            <m:type m:val="bar"/>
          </m:fPr>
          <m:num>
            <m:sSup>
              <m:e>
                <m:r>
                  <m:t>x</m:t>
                </m:r>
              </m:e>
              <m:sup>
                <m:r>
                  <m:t>3</m:t>
                </m:r>
              </m:sup>
            </m:sSup>
            <m:r>
              <m:rPr>
                <m:sty m:val="p"/>
              </m:rPr>
              <m:t>+</m:t>
            </m:r>
            <m:r>
              <m:t>5</m:t>
            </m:r>
            <m:r>
              <m:t>x</m:t>
            </m:r>
            <m:r>
              <m:rPr>
                <m:sty m:val="p"/>
              </m:rPr>
              <m:t>−</m:t>
            </m:r>
            <m:r>
              <m:t>5</m:t>
            </m:r>
          </m:num>
          <m:den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r>
              <m:t>3</m:t>
            </m:r>
          </m:den>
        </m:f>
      </m:oMath>
    </w:p>
    <w:p>
      <w:pPr>
        <w:pStyle w:val="BodyText"/>
      </w:pPr>
      <w:r>
        <w:t xml:space="preserve">1.6.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cos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</m:num>
          <m:den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r>
              <m:t>3</m:t>
            </m:r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den>
        </m:f>
      </m:oMath>
    </w:p>
    <w:p>
      <w:pPr>
        <w:pStyle w:val="BodyText"/>
      </w:pPr>
      <w:r>
        <w:t xml:space="preserve">1.7.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tan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</m:num>
          <m:den>
            <m:r>
              <m:rPr>
                <m:sty m:val="p"/>
              </m:rPr>
              <m:t>cos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</m:den>
        </m:f>
      </m:oMath>
    </w:p>
    <w:p>
      <w:pPr>
        <w:pStyle w:val="BodyText"/>
      </w:pPr>
      <w:r>
        <w:t xml:space="preserve">1.8.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ln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3</m:t>
                </m:r>
                <m:r>
                  <m:t>x</m:t>
                </m:r>
              </m:e>
            </m:d>
          </m:num>
          <m:den>
            <m:r>
              <m:rPr>
                <m:sty m:val="p"/>
              </m:rPr>
              <m:t>ln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5</m:t>
                </m:r>
              </m:e>
            </m:d>
            <m:r>
              <m:rPr>
                <m:sty m:val="p"/>
              </m:rPr>
              <m:t>+</m:t>
            </m:r>
            <m:r>
              <m:t>x</m:t>
            </m:r>
          </m:den>
        </m:f>
      </m:oMath>
    </w:p>
    <w:p>
      <w:pPr>
        <w:pStyle w:val="BodyText"/>
      </w:pPr>
      <w:r>
        <w:t xml:space="preserve">1.9.</w:t>
      </w:r>
      <w:r>
        <w:t xml:space="preserve"> </w:t>
      </w:r>
      <m:oMath>
        <m:r>
          <m:t> </m:t>
        </m:r>
        <m:f>
          <m:fPr>
            <m:type m:val="bar"/>
          </m:fPr>
          <m:num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r>
              <m:t>3</m:t>
            </m:r>
            <m:r>
              <m:t>x</m:t>
            </m:r>
          </m:num>
          <m:den>
            <m:r>
              <m:rPr>
                <m:sty m:val="p"/>
              </m:rPr>
              <m:t>cos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</m:den>
        </m:f>
      </m:oMath>
    </w:p>
    <w:p>
      <w:pPr>
        <w:pStyle w:val="BodyText"/>
      </w:pPr>
      <w:r>
        <w:t xml:space="preserve">1.10.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ln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</m:num>
          <m:den>
            <m:sSup>
              <m:e>
                <m:r>
                  <m:t>x</m:t>
                </m:r>
              </m:e>
              <m:sup>
                <m:r>
                  <m:t>3</m:t>
                </m:r>
              </m:sup>
            </m:sSup>
            <m:r>
              <m:rPr>
                <m:sty m:val="p"/>
              </m:rPr>
              <m:t>+</m:t>
            </m:r>
            <m:r>
              <m:t>3</m:t>
            </m:r>
          </m:den>
        </m:f>
      </m:oMath>
      <w:r>
        <w:t xml:space="preserve">.</w:t>
      </w:r>
    </w:p>
    <w:p>
      <w:pPr>
        <w:pStyle w:val="BodyText"/>
      </w:pPr>
      <w:r>
        <w:t xml:space="preserve">1.11.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5</m:t>
            </m:r>
            <m:r>
              <m:rPr>
                <m:sty m:val="p"/>
              </m:rPr>
              <m:t>tan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</m:num>
          <m:den>
            <m:r>
              <m:t>x</m:t>
            </m:r>
          </m:den>
        </m:f>
      </m:oMath>
      <w:r>
        <w:t xml:space="preserve">.</w:t>
      </w:r>
    </w:p>
    <w:p>
      <w:pPr>
        <w:pStyle w:val="BodyText"/>
      </w:pPr>
      <w:r>
        <w:t xml:space="preserve">1.12.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3</m:t>
            </m:r>
            <m:sSup>
              <m:e>
                <m:r>
                  <m:t>x</m:t>
                </m:r>
              </m:e>
              <m:sup>
                <m:r>
                  <m:t>7</m:t>
                </m:r>
              </m:sup>
            </m:sSup>
            <m:r>
              <m:rPr>
                <m:sty m:val="p"/>
              </m:rPr>
              <m:t>−</m:t>
            </m:r>
            <m:r>
              <m:t>27</m:t>
            </m:r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r>
              <m:t>2</m:t>
            </m:r>
            <m:rad>
              <m:radPr>
                <m:degHide m:val="on"/>
              </m:radPr>
              <m:deg/>
              <m:e>
                <m:r>
                  <m:t>x</m:t>
                </m:r>
              </m:e>
            </m:rad>
          </m:num>
          <m:den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r>
              <m:t>1</m:t>
            </m:r>
          </m:den>
        </m:f>
      </m:oMath>
      <w:r>
        <w:t xml:space="preserve">.</w:t>
      </w:r>
    </w:p>
    <w:p>
      <w:pPr>
        <w:pStyle w:val="BodyText"/>
      </w:pPr>
      <w:r>
        <w:t xml:space="preserve">1.13.</w:t>
      </w:r>
      <w:r>
        <w:t xml:space="preserve"> </w:t>
      </w:r>
      <m:oMath>
        <m:r>
          <m:t> </m:t>
        </m:r>
        <m:f>
          <m:fPr>
            <m:type m:val="bar"/>
          </m:fPr>
          <m:num>
            <m:sSup>
              <m:e>
                <m:r>
                  <m:t>e</m:t>
                </m:r>
              </m:e>
              <m:sup>
                <m:r>
                  <m:rPr>
                    <m:sty m:val="p"/>
                  </m:rPr>
                  <m:t>−</m:t>
                </m:r>
                <m:r>
                  <m:t>3</m:t>
                </m:r>
                <m:r>
                  <m:t>x</m:t>
                </m:r>
              </m:sup>
            </m:sSup>
          </m:num>
          <m:den>
            <m:sSup>
              <m:e>
                <m:r>
                  <m:t>e</m:t>
                </m:r>
              </m:e>
              <m:sup>
                <m:r>
                  <m:t>2</m:t>
                </m:r>
                <m:r>
                  <m:t>x</m:t>
                </m:r>
              </m:sup>
            </m:sSup>
          </m:den>
        </m:f>
      </m:oMath>
      <w:r>
        <w:t xml:space="preserve">.</w:t>
      </w:r>
    </w:p>
    <w:p>
      <w:pPr>
        <w:pStyle w:val="BodyText"/>
      </w:pPr>
      <w:r>
        <w:t xml:space="preserve">1.14.</w:t>
      </w:r>
      <w:r>
        <w:t xml:space="preserve"> </w:t>
      </w:r>
      <m:oMath>
        <m:r>
          <m:t> </m:t>
        </m:r>
        <m:f>
          <m:fPr>
            <m:type m:val="bar"/>
          </m:fPr>
          <m:num>
            <m:sSup>
              <m:e>
                <m:r>
                  <m:t>e</m:t>
                </m:r>
              </m:e>
              <m:sup>
                <m:r>
                  <m:t>3</m:t>
                </m:r>
              </m:sup>
            </m:sSup>
            <m:sSup>
              <m:e>
                <m:r>
                  <m:t>x</m:t>
                </m:r>
              </m:e>
              <m:sup>
                <m:r>
                  <m:t>3</m:t>
                </m:r>
              </m:sup>
            </m:sSup>
          </m:num>
          <m:den>
            <m:sSup>
              <m:e>
                <m:r>
                  <m:t>e</m:t>
                </m:r>
              </m:e>
              <m:sup>
                <m:r>
                  <m:t>x</m:t>
                </m:r>
              </m:sup>
            </m:sSup>
          </m:den>
        </m:f>
      </m:oMath>
      <w:r>
        <w:t xml:space="preserve">.</w:t>
      </w:r>
    </w:p>
    <w:p>
      <w:pPr>
        <w:pStyle w:val="BodyText"/>
      </w:pPr>
      <w:r>
        <w:t xml:space="preserve">1.15.</w:t>
      </w:r>
      <w:r>
        <w:t xml:space="preserve"> </w:t>
      </w:r>
      <m:oMath>
        <m:r>
          <m:t> </m:t>
        </m:r>
        <m:f>
          <m:fPr>
            <m:type m:val="bar"/>
          </m:fPr>
          <m:num>
            <m:sSup>
              <m:e>
                <m:r>
                  <m:t>x</m:t>
                </m:r>
              </m:e>
              <m:sup>
                <m:r>
                  <m:t>5</m:t>
                </m:r>
              </m:sup>
            </m:sSup>
          </m:num>
          <m:den>
            <m:sSup>
              <m:e>
                <m:r>
                  <m:t>x</m:t>
                </m:r>
              </m:e>
              <m:sup>
                <m:r>
                  <m:t>5</m:t>
                </m:r>
              </m:sup>
            </m:sSup>
            <m:r>
              <m:rPr>
                <m:sty m:val="p"/>
              </m:rPr>
              <m:t>+</m:t>
            </m:r>
            <m:r>
              <m:t>1</m:t>
            </m:r>
          </m:den>
        </m:f>
      </m:oMath>
      <w:r>
        <w:t xml:space="preserve">.</w:t>
      </w:r>
    </w:p>
    <w:p>
      <w:pPr>
        <w:pStyle w:val="BodyText"/>
      </w:pPr>
      <w:r>
        <w:t xml:space="preserve">1.16.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tan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</m:num>
          <m:den>
            <m:r>
              <m:rPr>
                <m:sty m:val="p"/>
              </m:rPr>
              <m:t>ln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</m:den>
        </m:f>
      </m:oMath>
      <w:r>
        <w:t xml:space="preserve">.</w:t>
      </w:r>
    </w:p>
    <w:p>
      <w:pPr>
        <w:pStyle w:val="BodyText"/>
      </w:pPr>
      <w:r>
        <w:t xml:space="preserve">1.17.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3</m:t>
            </m:r>
            <m:r>
              <m:rPr>
                <m:sty m:val="p"/>
              </m:rPr>
              <m:t>sin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</m:num>
          <m:den>
            <m:r>
              <m:rPr>
                <m:sty m:val="p"/>
              </m:rPr>
              <m:t>ln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</m:den>
        </m:f>
      </m:oMath>
    </w:p>
    <w:p>
      <w:pPr>
        <w:pStyle w:val="BodyText"/>
      </w:pPr>
      <w:r>
        <w:t xml:space="preserve">1.18.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tan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  <m:r>
              <m:rPr>
                <m:sty m:val="p"/>
              </m:rPr>
              <m:t>+</m:t>
            </m:r>
            <m:r>
              <m:t>5</m:t>
            </m:r>
            <m:r>
              <m:t>x</m:t>
            </m:r>
          </m:num>
          <m:den>
            <m:r>
              <m:rPr>
                <m:sty m:val="p"/>
              </m:rPr>
              <m:t>sec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3</m:t>
                </m:r>
                <m:r>
                  <m:t>x</m:t>
                </m:r>
              </m:e>
            </m:d>
          </m:den>
        </m:f>
      </m:oMath>
    </w:p>
    <w:p>
      <w:r>
        <w:pict>
          <v:rect style="width:0;height:1.5pt" o:hralign="center" o:hrstd="t" o:hr="t"/>
        </w:pict>
      </w:r>
    </w:p>
    <w:p>
      <w:pPr>
        <w:pStyle w:val="FirstParagraph"/>
      </w:pPr>
      <w:hyperlink r:id="rId21">
        <w:r>
          <w:rPr>
            <w:rStyle w:val="Hyperlink"/>
          </w:rPr>
          <w:t xml:space="preserve">After attempting the questions above, please click this link to find the answers.</w:t>
        </w:r>
      </w:hyperlink>
    </w:p>
    <w:p>
      <w:r>
        <w:pict>
          <v:rect style="width:0;height:1.5pt" o:hralign="center" o:hrstd="t" o:hr="t"/>
        </w:pict>
      </w:r>
    </w:p>
    <w:bookmarkStart w:id="23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initial version created 05/25 by Sara Delgado Garcia as part of a University of St Andrews VIP project.</w:t>
      </w:r>
    </w:p>
    <w:p>
      <w:pPr>
        <w:pStyle w:val="BodyText"/>
      </w:pPr>
      <w:hyperlink r:id="rId22">
        <w:r>
          <w:rPr>
            <w:rStyle w:val="Hyperlink"/>
          </w:rPr>
          <w:t xml:space="preserve">This work is licensed under CC BY-NC-SA 4.0.</w:t>
        </w:r>
      </w:hyperlink>
    </w:p>
    <w:bookmarkEnd w:id="23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1" Target="../answers/as-quotientrule.qmd" TargetMode="External" /><Relationship Type="http://schemas.openxmlformats.org/officeDocument/2006/relationships/hyperlink" Id="rId20" Target="../studyguides/quotientrule.qmd" TargetMode="External" /><Relationship Type="http://schemas.openxmlformats.org/officeDocument/2006/relationships/hyperlink" Id="rId22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1" Target="../answers/as-quotientrule.qmd" TargetMode="External" /><Relationship Type="http://schemas.openxmlformats.org/officeDocument/2006/relationships/hyperlink" Id="rId20" Target="../studyguides/quotientrule.qmd" TargetMode="External" /><Relationship Type="http://schemas.openxmlformats.org/officeDocument/2006/relationships/hyperlink" Id="rId22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Questions: The quotient rule</dc:title>
  <dc:creator>Sara Delgado Garcia</dc:creator>
  <cp:keywords/>
  <dcterms:created xsi:type="dcterms:W3CDTF">2025-07-02T14:56:57Z</dcterms:created>
  <dcterms:modified xsi:type="dcterms:W3CDTF">2025-07-02T14:56:57Z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 selection of questions for the study guide on the quotient rule.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