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48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introduction to fractions.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numerical fractions</w:t>
        </w:r>
      </w:hyperlink>
      <w:r>
        <w:rPr>
          <w:i/>
          <w:iCs/>
        </w:rPr>
        <w:t xml:space="preserve">.</w:t>
      </w:r>
    </w:p>
    <w:bookmarkStart w:id="5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For each figure, write the fraction that represents the shaded area.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142875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FiguresPNG/qs-introtonumericalfractions-fig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881944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FiguresPNG/qs-introtonumericalfractions-fig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81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142875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FiguresPNG/qs-introtonumericalfractions-fig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142875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FiguresPNG/qs-introtonumericalfractions-fig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905000" cy="79375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FiguresPNG/qs-introtonumericalfractions-fig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142875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FiguresPNG/qs-introtonumericalfractions-fig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905000" cy="79375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FiguresPNG/qs-introtonumericalfractions-fig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142875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FiguresPNG/qs-introtonumericalfractions-fig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905000" cy="595312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FiguresPNG/qs-introtonumericalfractions-fig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95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905000" cy="754455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FiguresPNG/qs-introtonumericalfractions-fig10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54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Convert each mixed number into an improper fraction.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8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t>10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7</m:t>
        </m:r>
        <m:f>
          <m:fPr>
            <m:type m:val="bar"/>
          </m:fPr>
          <m:num>
            <m:r>
              <m:t>5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t>12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bookmarkEnd w:id="52"/>
    <w:bookmarkStart w:id="5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Convert each improper fraction into a mixed number.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11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25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50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64</m:t>
            </m:r>
          </m:num>
          <m:den>
            <m:r>
              <m:rPr>
                <m:sty m:val="p"/>
              </m:rPr>
              <m:t>−</m:t>
            </m:r>
            <m:r>
              <m:t>8</m:t>
            </m:r>
          </m:den>
        </m:f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100</m:t>
            </m:r>
          </m:num>
          <m:den>
            <m:r>
              <m:t>13</m:t>
            </m:r>
          </m:den>
        </m:f>
      </m:oMath>
    </w:p>
    <w:bookmarkEnd w:id="53"/>
    <w:bookmarkStart w:id="5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Find the missing value</w:t>
      </w:r>
      <w:r>
        <w:t xml:space="preserve"> </w:t>
      </w:r>
      <m:oMath>
        <m:r>
          <m:rPr>
            <m:sty m:val="p"/>
          </m:rPr>
          <m:t>?</m:t>
        </m:r>
      </m:oMath>
      <w:r>
        <w:t xml:space="preserve"> </w:t>
      </w:r>
      <w:r>
        <w:t xml:space="preserve">that makes the two fractions equivalent.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25</m:t>
            </m:r>
          </m:den>
        </m:f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16</m:t>
            </m:r>
          </m:den>
        </m:f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rPr>
                <m:sty m:val="p"/>
              </m:rPr>
              <m:t>−</m:t>
            </m:r>
            <m:r>
              <m:t>20</m:t>
            </m:r>
          </m:den>
        </m:f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24</m:t>
            </m:r>
          </m:den>
        </m:f>
      </m:oMath>
    </w:p>
    <w:p>
      <w:pPr>
        <w:pStyle w:val="BodyText"/>
      </w:pPr>
      <w:r>
        <w:t xml:space="preserve">4.7.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4.8.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18</m:t>
            </m:r>
          </m:den>
        </m:f>
      </m:oMath>
    </w:p>
    <w:p>
      <w:pPr>
        <w:pStyle w:val="BodyText"/>
      </w:pPr>
      <w:r>
        <w:t xml:space="preserve">4.9.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27</m:t>
            </m:r>
          </m:den>
        </m:f>
      </m:oMath>
    </w:p>
    <w:p>
      <w:pPr>
        <w:pStyle w:val="BodyText"/>
      </w:pPr>
      <w:r>
        <w:t xml:space="preserve">4.10.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70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4.11.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30</m:t>
            </m:r>
          </m:den>
        </m:f>
      </m:oMath>
    </w:p>
    <w:p>
      <w:pPr>
        <w:pStyle w:val="BodyText"/>
      </w:pPr>
      <w:r>
        <w:t xml:space="preserve">4.12.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60</m:t>
            </m:r>
          </m:den>
        </m:f>
      </m:oMath>
    </w:p>
    <w:p>
      <w:pPr>
        <w:pStyle w:val="BodyText"/>
      </w:pPr>
      <w:r>
        <w:t xml:space="preserve">4.13.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rPr>
                <m:sty m:val="p"/>
              </m:rPr>
              <m:t>−</m:t>
            </m:r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21</m:t>
            </m:r>
          </m:den>
        </m:f>
      </m:oMath>
    </w:p>
    <w:p>
      <w:pPr>
        <w:pStyle w:val="BodyText"/>
      </w:pPr>
      <w:r>
        <w:t xml:space="preserve">4.14.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32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4.15.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rPr>
                <m:sty m:val="p"/>
              </m:rPr>
              <m:t>−</m:t>
            </m:r>
            <m:r>
              <m:t>49</m:t>
            </m:r>
          </m:den>
        </m:f>
      </m:oMath>
    </w:p>
    <w:bookmarkEnd w:id="54"/>
    <w:bookmarkStart w:id="55" w:name="q5"/>
    <w:p>
      <w:pPr>
        <w:pStyle w:val="Heading2"/>
      </w:pPr>
      <w:r>
        <w:t xml:space="preserve">Q5</w:t>
      </w:r>
    </w:p>
    <w:p>
      <w:pPr>
        <w:pStyle w:val="FirstParagraph"/>
      </w:pPr>
      <w:r>
        <w:t xml:space="preserve">Write each fraction in its simplest form.</w:t>
      </w:r>
    </w:p>
    <w:p>
      <w:pPr>
        <w:pStyle w:val="BodyText"/>
      </w:pPr>
      <w:r>
        <w:t xml:space="preserve">5.1.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5.2.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5.3.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5.4.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5.5.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15</m:t>
            </m:r>
          </m:num>
          <m:den>
            <m:r>
              <m:t>25</m:t>
            </m:r>
          </m:den>
        </m:f>
      </m:oMath>
    </w:p>
    <w:p>
      <w:pPr>
        <w:pStyle w:val="BodyText"/>
      </w:pPr>
      <w:r>
        <w:t xml:space="preserve">5.6.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21</m:t>
            </m:r>
          </m:den>
        </m:f>
      </m:oMath>
    </w:p>
    <w:p>
      <w:pPr>
        <w:pStyle w:val="BodyText"/>
      </w:pPr>
      <w:r>
        <w:t xml:space="preserve">5.7.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20</m:t>
            </m:r>
          </m:num>
          <m:den>
            <m:r>
              <m:t>30</m:t>
            </m:r>
          </m:den>
        </m:f>
      </m:oMath>
    </w:p>
    <w:p>
      <w:pPr>
        <w:pStyle w:val="BodyText"/>
      </w:pPr>
      <w:r>
        <w:t xml:space="preserve">5.8.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35</m:t>
            </m:r>
          </m:num>
          <m:den>
            <m:r>
              <m:t>49</m:t>
            </m:r>
          </m:den>
        </m:f>
      </m:oMath>
    </w:p>
    <w:p>
      <w:pPr>
        <w:pStyle w:val="BodyText"/>
      </w:pPr>
      <w:r>
        <w:t xml:space="preserve">5.9.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48</m:t>
            </m:r>
          </m:num>
          <m:den>
            <m:r>
              <m:t>72</m:t>
            </m:r>
          </m:den>
        </m:f>
      </m:oMath>
    </w:p>
    <w:p>
      <w:pPr>
        <w:pStyle w:val="BodyText"/>
      </w:pPr>
      <w:r>
        <w:t xml:space="preserve">5.10.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100</m:t>
            </m:r>
          </m:num>
          <m:den>
            <m:r>
              <m:t>120</m:t>
            </m:r>
          </m:den>
        </m:f>
      </m:oMath>
    </w:p>
    <w:bookmarkEnd w:id="55"/>
    <w:bookmarkStart w:id="57" w:name="q6"/>
    <w:p>
      <w:pPr>
        <w:pStyle w:val="Heading2"/>
      </w:pPr>
      <w:r>
        <w:t xml:space="preserve">Q6</w:t>
      </w:r>
    </w:p>
    <w:p>
      <w:pPr>
        <w:pStyle w:val="FirstParagraph"/>
      </w:pPr>
      <w:r>
        <w:t xml:space="preserve">Convert each fraction into its alternative form and fully simplify the result.</w:t>
      </w:r>
    </w:p>
    <w:p>
      <w:pPr>
        <w:pStyle w:val="Compact"/>
        <w:numPr>
          <w:ilvl w:val="0"/>
          <w:numId w:val="1001"/>
        </w:numPr>
      </w:pPr>
      <w:r>
        <w:t xml:space="preserve">If an improper fraction is given, convert it into a mixed number.</w:t>
      </w:r>
    </w:p>
    <w:p>
      <w:pPr>
        <w:pStyle w:val="Compact"/>
        <w:numPr>
          <w:ilvl w:val="0"/>
          <w:numId w:val="1001"/>
        </w:numPr>
      </w:pPr>
      <w:r>
        <w:t xml:space="preserve">If a mixed number is given, convert it into an improper fraction.</w:t>
      </w:r>
    </w:p>
    <w:p>
      <w:pPr>
        <w:pStyle w:val="FirstParagraph"/>
      </w:pPr>
      <w:r>
        <w:t xml:space="preserve">6.1.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6.2.</w:t>
      </w:r>
      <w:r>
        <w:t xml:space="preserve"> </w:t>
      </w:r>
      <m:oMath>
        <m:r>
          <m:t> 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6.3.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6.4.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15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6.5.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6.6.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6.7.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20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6.8.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30</m:t>
            </m:r>
          </m:num>
          <m:den>
            <m:r>
              <m:t>25</m:t>
            </m:r>
          </m:den>
        </m:f>
      </m:oMath>
    </w:p>
    <w:p>
      <w:pPr>
        <w:pStyle w:val="BodyText"/>
      </w:pPr>
      <w:r>
        <w:t xml:space="preserve">6.9.</w:t>
      </w:r>
      <w:r>
        <w:t xml:space="preserve"> </w:t>
      </w:r>
      <m:oMath>
        <m:r>
          <m:t> </m:t>
        </m:r>
        <m:r>
          <m:t>5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6.10.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45</m:t>
            </m:r>
          </m:num>
          <m:den>
            <m:r>
              <m:t>20</m:t>
            </m:r>
          </m:den>
        </m:f>
      </m:oMath>
    </w:p>
    <w:p>
      <w:pPr>
        <w:pStyle w:val="BodyText"/>
      </w:pPr>
      <w:r>
        <w:t xml:space="preserve">6.11.</w:t>
      </w:r>
      <w:r>
        <w:t xml:space="preserve"> </w:t>
      </w:r>
      <m:oMath>
        <m:r>
          <m:t> </m:t>
        </m:r>
        <m:r>
          <m:t>4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6.12.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50</m:t>
            </m:r>
          </m:num>
          <m:den>
            <m:r>
              <m:t>30</m:t>
            </m:r>
          </m:den>
        </m:f>
      </m:oMath>
    </w:p>
    <w:p>
      <w:pPr>
        <w:pStyle w:val="BodyText"/>
      </w:pPr>
      <w:r>
        <w:t xml:space="preserve">6.13.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75</m:t>
            </m:r>
          </m:num>
          <m:den>
            <m:r>
              <m:rPr>
                <m:sty m:val="p"/>
              </m:rPr>
              <m:t>−</m:t>
            </m:r>
            <m:r>
              <m:t>50</m:t>
            </m:r>
          </m:den>
        </m:f>
      </m:oMath>
    </w:p>
    <w:p>
      <w:pPr>
        <w:pStyle w:val="BodyText"/>
      </w:pPr>
      <w:r>
        <w:t xml:space="preserve">6.14.</w:t>
      </w:r>
      <w:r>
        <w:t xml:space="preserve"> </w:t>
      </w:r>
      <m:oMath>
        <m:r>
          <m:t> </m:t>
        </m:r>
        <m:r>
          <m:t>6</m:t>
        </m:r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</m:oMath>
    </w:p>
    <w:p>
      <w:pPr>
        <w:pStyle w:val="BodyText"/>
      </w:pPr>
      <w:r>
        <w:t xml:space="preserve">6.15.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14</m:t>
            </m:r>
          </m:num>
          <m:den>
            <m:r>
              <m:t>21</m:t>
            </m:r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56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57"/>
    <w:bookmarkStart w:id="59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58">
        <w:r>
          <w:rPr>
            <w:rStyle w:val="Hyperlink"/>
          </w:rPr>
          <w:t xml:space="preserve">This work is licensed under CC BY-NC-SA 4.0.</w:t>
        </w:r>
      </w:hyperlink>
    </w:p>
    <w:bookmarkEnd w:id="59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48" Target="media/rId48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hyperlink" Id="rId56" Target="../answers/as-introtonumericalfractions.qmd" TargetMode="External" /><Relationship Type="http://schemas.openxmlformats.org/officeDocument/2006/relationships/hyperlink" Id="rId20" Target="../studyguides/introtonumericalfractions.qmd" TargetMode="External" /><Relationship Type="http://schemas.openxmlformats.org/officeDocument/2006/relationships/hyperlink" Id="rId58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../answers/as-introtonumericalfractions.qmd" TargetMode="External" /><Relationship Type="http://schemas.openxmlformats.org/officeDocument/2006/relationships/hyperlink" Id="rId20" Target="../studyguides/introtonumericalfractions.qmd" TargetMode="External" /><Relationship Type="http://schemas.openxmlformats.org/officeDocument/2006/relationships/hyperlink" Id="rId58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fractions</dc:title>
  <dc:creator>Donald Campbell</dc:creator>
  <cp:keywords/>
  <dcterms:created xsi:type="dcterms:W3CDTF">2026-02-25T16:32:31Z</dcterms:created>
  <dcterms:modified xsi:type="dcterms:W3CDTF">2026-02-25T16:32:31Z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introduction to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