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The</w:t>
      </w:r>
      <w:r>
        <w:t xml:space="preserve"> </w:t>
      </w:r>
      <w:r>
        <w:t xml:space="preserve">chain</w:t>
      </w:r>
      <w:r>
        <w:t xml:space="preserve"> </w:t>
      </w:r>
      <w:r>
        <w:t xml:space="preserve">rule</w:t>
      </w:r>
    </w:p>
    <w:p>
      <w:pPr>
        <w:pStyle w:val="Author"/>
      </w:pPr>
      <w:r>
        <w:t xml:space="preserve">Sara</w:t>
      </w:r>
      <w:r>
        <w:t xml:space="preserve"> </w:t>
      </w:r>
      <w:r>
        <w:t xml:space="preserve">Delgado</w:t>
      </w:r>
      <w:r>
        <w:t xml:space="preserve"> </w:t>
      </w:r>
      <w:r>
        <w:t xml:space="preserve">Garcia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chain</w:t>
      </w:r>
      <w:r>
        <w:t xml:space="preserve"> </w:t>
      </w:r>
      <w:r>
        <w:t xml:space="preserve">rule.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The chain rule.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t xml:space="preserve">Differentiate the following functions using the chain rule.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+</m:t>
            </m:r>
            <m:r>
              <m:t>4</m:t>
            </m:r>
            <m:r>
              <m:t>x</m:t>
            </m:r>
          </m:e>
        </m:d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t>4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e>
        </m:d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sSup>
          <m:e>
            <m:r>
              <m:t>e</m:t>
            </m:r>
          </m:e>
          <m:sup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</m:sup>
        </m:sSup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r>
          <m:t>2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rPr>
                    <m:sty m:val="p"/>
                  </m:rPr>
                  <m:t>sin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2</m:t>
                    </m:r>
                    <m:r>
                      <m:t>x</m:t>
                    </m:r>
                  </m:e>
                </m:d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sSup>
          <m:e>
            <m:r>
              <m:t>e</m:t>
            </m:r>
          </m:e>
          <m:sup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</m:e>
            </m:d>
          </m:sup>
        </m:sSup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rPr>
            <m:sty m:val="p"/>
          </m:rPr>
          <m:t>ln</m:t>
        </m:r>
        <m:r>
          <m:rPr>
            <m:sty m:val="p"/>
          </m:rPr>
          <m:t>(</m:t>
        </m:r>
        <m:r>
          <m:t>2</m:t>
        </m:r>
        <m:r>
          <m:rPr>
            <m:sty m:val="p"/>
          </m:rPr>
          <m:t>+</m:t>
        </m:r>
        <m:r>
          <m:t>4</m:t>
        </m:r>
        <m:sSup>
          <m:e>
            <m:r>
              <m:t>x</m:t>
            </m:r>
          </m:e>
          <m:sup>
            <m:r>
              <m:rPr>
                <m:sty m:val="p"/>
              </m:rPr>
              <m:t>−</m:t>
            </m:r>
            <m:r>
              <m:t>2</m:t>
            </m:r>
          </m:sup>
        </m:sSup>
        <m:sSup>
          <m:e>
            <m:r>
              <m:rPr>
                <m:sty m:val="p"/>
              </m:rPr>
              <m:t>)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sSup>
          <m:e>
            <m:r>
              <m:t>e</m:t>
            </m:r>
          </m:e>
          <m:sup>
            <m:r>
              <m:t>5</m:t>
            </m:r>
            <m:sSup>
              <m:e>
                <m:r>
                  <m:t>x</m:t>
                </m:r>
              </m:e>
              <m:sup>
                <m:r>
                  <m:t>4</m:t>
                </m:r>
              </m:sup>
            </m:sSup>
          </m:sup>
        </m:sSup>
      </m:oMath>
      <w:r>
        <w:t xml:space="preserve"> </w:t>
      </w:r>
      <w:r>
        <w:t xml:space="preserve">changed</w:t>
      </w:r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sSup>
          <m:e>
            <m:r>
              <m:t>e</m:t>
            </m:r>
          </m:e>
          <m:sup>
            <m:r>
              <m:t>2</m:t>
            </m:r>
            <m:sSup>
              <m:e>
                <m:r>
                  <m:t>x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3</m:t>
                </m:r>
              </m:sup>
            </m:sSup>
          </m:sup>
        </m:sSup>
      </m:oMath>
      <w:r>
        <w:t xml:space="preserve"> </w:t>
      </w:r>
      <w:r>
        <w:t xml:space="preserve">changed</w:t>
      </w:r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r>
          <m:rPr>
            <m:sty m:val="p"/>
          </m:rPr>
          <m:t>−</m:t>
        </m:r>
        <m:r>
          <m:t>5</m:t>
        </m:r>
        <m:rad>
          <m:radPr>
            <m:degHide m:val="on"/>
          </m:radPr>
          <m:deg/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e>
        </m:rad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  <m:r>
                      <m:rPr>
                        <m:sty m:val="p"/>
                      </m:rPr>
                      <m:t>+</m:t>
                    </m:r>
                    <m:r>
                      <m:t>3</m:t>
                    </m:r>
                  </m:e>
                </m:d>
              </m:e>
              <m:sup>
                <m:r>
                  <m:t>2</m:t>
                </m:r>
              </m:sup>
            </m:sSup>
          </m:e>
        </m:rad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</m:oMath>
      <w:r>
        <w:t xml:space="preserve">.</w:t>
      </w:r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r>
          <m:t>2</m:t>
        </m:r>
        <m:sSup>
          <m:e>
            <m:r>
              <m:rPr>
                <m:sty m:val="p"/>
              </m:rPr>
              <m:t>cos</m:t>
            </m:r>
          </m:e>
          <m:sup>
            <m:r>
              <m:t>2</m:t>
            </m:r>
          </m:sup>
        </m:sSup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</w:t>
      </w:r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r>
          <m:t>2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5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13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</m:e>
            </m:d>
          </m:e>
          <m:sup>
            <m:r>
              <m:t>3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rad>
          <m:radPr>
            <m:degHide m:val="on"/>
          </m:radPr>
          <m:deg/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  <m:r>
                  <m:t>x</m:t>
                </m:r>
              </m:den>
            </m:f>
          </m:e>
        </m:rad>
      </m:oMath>
      <w:r>
        <w:t xml:space="preserve">.</w:t>
      </w:r>
    </w:p>
    <w:p>
      <w:pPr>
        <w:pStyle w:val="BodyText"/>
      </w:pPr>
      <w:r>
        <w:t xml:space="preserve">1.16.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sSup>
              <m:e>
                <m:r>
                  <m:t>x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1</m:t>
                </m:r>
                <m:r>
                  <m:rPr>
                    <m:sty m:val="p"/>
                  </m:rPr>
                  <m:t>/</m:t>
                </m:r>
                <m:r>
                  <m:t>2</m:t>
                </m:r>
              </m:sup>
            </m:sSup>
          </m:e>
        </m:d>
      </m:oMath>
      <w:r>
        <w:t xml:space="preserve">. changed</w:t>
      </w:r>
    </w:p>
    <w:p>
      <w:pPr>
        <w:pStyle w:val="BodyText"/>
      </w:pPr>
      <w:r>
        <w:t xml:space="preserve">1.17.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rad>
          </m:e>
        </m:d>
      </m:oMath>
    </w:p>
    <w:p>
      <w:pPr>
        <w:pStyle w:val="BodyText"/>
      </w:pPr>
      <w:r>
        <w:t xml:space="preserve">1.18.</w:t>
      </w:r>
      <w:r>
        <w:t xml:space="preserve"> </w:t>
      </w:r>
      <m:oMath>
        <m:r>
          <m:t> 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e</m:t>
                </m:r>
              </m:e>
              <m:sup>
                <m:r>
                  <m:t>x</m:t>
                </m:r>
              </m:sup>
            </m:sSup>
          </m:e>
        </m:d>
      </m:oMath>
    </w:p>
    <w:p>
      <w:pPr>
        <w:pStyle w:val="BodyText"/>
      </w:pPr>
      <w:r>
        <w:t xml:space="preserve">1.19.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2</m:t>
                </m:r>
                <m:r>
                  <m:t>x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</m:e>
        </m:d>
      </m:oMath>
    </w:p>
    <w:p>
      <w:pPr>
        <w:pStyle w:val="BodyText"/>
      </w:pPr>
      <w:r>
        <w:t xml:space="preserve">1.20.</w:t>
      </w:r>
      <w:r>
        <w:t xml:space="preserve"> </w:t>
      </w:r>
      <m:oMath>
        <m:r>
          <m:t> 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1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Start w:id="23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Sara Delgado Garcia as part of a University of St Andrews VIP project.</w:t>
      </w:r>
    </w:p>
    <w:p>
      <w:pPr>
        <w:pStyle w:val="BodyText"/>
      </w:pPr>
      <w:hyperlink r:id="rId22">
        <w:r>
          <w:rPr>
            <w:rStyle w:val="Hyperlink"/>
          </w:rPr>
          <w:t xml:space="preserve">This work is licensed under CC BY-NC-SA 4.0.</w:t>
        </w:r>
      </w:hyperlink>
    </w:p>
    <w:bookmarkEnd w:id="23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../answers/as-chainrule.qmd" TargetMode="External" /><Relationship Type="http://schemas.openxmlformats.org/officeDocument/2006/relationships/hyperlink" Id="rId20" Target="../studyguides/chainrule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../answers/as-chainrule.qmd" TargetMode="External" /><Relationship Type="http://schemas.openxmlformats.org/officeDocument/2006/relationships/hyperlink" Id="rId20" Target="../studyguides/chainrule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The chain rule</dc:title>
  <dc:creator>Sara Delgado Garcia</dc:creator>
  <cp:keywords/>
  <dcterms:created xsi:type="dcterms:W3CDTF">2025-07-02T14:57:31Z</dcterms:created>
  <dcterms:modified xsi:type="dcterms:W3CDTF">2025-07-02T14:57:31Z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the chain rule.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