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Factsheet:</w:t>
      </w:r>
      <w:r>
        <w:t xml:space="preserve"> </w:t>
      </w:r>
      <w:r>
        <w:t xml:space="preserve">Continuous</w:t>
      </w:r>
      <w:r>
        <w:t xml:space="preserve"> </w:t>
      </w:r>
      <w:r>
        <w:t xml:space="preserve">uniform</w:t>
      </w:r>
      <w:r>
        <w:t xml:space="preserve"> </w:t>
      </w:r>
      <w:r>
        <w:t xml:space="preserve">distribution</w:t>
      </w:r>
    </w:p>
    <w:p>
      <w:pPr>
        <w:pStyle w:val="Author"/>
      </w:pPr>
      <w:r>
        <w:t xml:space="preserve">Michelle</w:t>
      </w:r>
      <w:r>
        <w:t xml:space="preserve"> </w:t>
      </w:r>
      <w:r>
        <w:t xml:space="preserve">Arnetta</w:t>
      </w:r>
      <w:r>
        <w:t xml:space="preserve"> </w:t>
      </w:r>
      <w:r>
        <w:t xml:space="preserve">and</w:t>
      </w:r>
      <w:r>
        <w:t xml:space="preserve"> </w:t>
      </w:r>
      <w:r>
        <w:t xml:space="preserve">Tom</w:t>
      </w:r>
      <w:r>
        <w:t xml:space="preserve"> </w:t>
      </w:r>
      <w:r>
        <w:t xml:space="preserve">Coleman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factsheet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continuous</w:t>
      </w:r>
      <w:r>
        <w:t xml:space="preserve"> </w:t>
      </w:r>
      <w:r>
        <w:t xml:space="preserve">uniform</w:t>
      </w:r>
      <w:r>
        <w:t xml:space="preserve"> </w:t>
      </w:r>
      <w:r>
        <w:t xml:space="preserve">distribution.</w:t>
      </w:r>
    </w:p>
    <w:p>
      <w:pPr>
        <w:pStyle w:val="CaptionedFigure"/>
      </w:pPr>
      <w:r>
        <w:drawing>
          <wp:inline>
            <wp:extent cx="4754880" cy="5154367"/>
            <wp:effectExtent b="0" l="0" r="0" t="0"/>
            <wp:docPr descr="An example of the continuous uniform distribution with a = -10 and b = 20." title="" id="21" name="Picture"/>
            <a:graphic>
              <a:graphicData uri="http://schemas.openxmlformats.org/drawingml/2006/picture">
                <pic:pic>
                  <pic:nvPicPr>
                    <pic:cNvPr descr="./FiguresPNG/f-contunifdis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154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An example of the continuous uniform distribution with</w:t>
      </w:r>
      <w:r>
        <w:t xml:space="preserve"> </w:t>
      </w:r>
      <m:oMath>
        <m:r>
          <m:t>a</m:t>
        </m:r>
        <m:r>
          <m:rPr>
            <m:sty m:val="p"/>
          </m:rPr>
          <m:t>=</m:t>
        </m:r>
        <m:r>
          <m:rPr>
            <m:sty m:val="p"/>
          </m:rPr>
          <m:t>−</m:t>
        </m:r>
        <m:r>
          <m:t>10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  <m:r>
          <m:rPr>
            <m:sty m:val="p"/>
          </m:rPr>
          <m:t>=</m:t>
        </m:r>
        <m:r>
          <m:t>20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Where to use:</w:t>
      </w:r>
      <w:r>
        <w:t xml:space="preserve"> </w:t>
      </w:r>
      <w:r>
        <w:t xml:space="preserve">The continuous uniform distribution is used when all continuous values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 the interval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are equally likely. The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the outcome.</w:t>
      </w:r>
    </w:p>
    <w:p>
      <w:pPr>
        <w:pStyle w:val="BodyText"/>
      </w:pPr>
      <w:r>
        <w:rPr>
          <w:b/>
          <w:bCs/>
        </w:rPr>
        <w:t xml:space="preserve">Notation: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rPr>
            <m:nor/>
            <m:sty m:val="p"/>
          </m:rPr>
          <m:t>Uniform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 </w:t>
      </w:r>
      <w:r>
        <w:t xml:space="preserve">or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Parameters:</w:t>
      </w:r>
      <w:r>
        <w:t xml:space="preserve"> </w:t>
      </w:r>
      <w:r>
        <w:t xml:space="preserve">Two real numbers</w:t>
      </w:r>
      <w:r>
        <w:t xml:space="preserve"> </w:t>
      </w:r>
      <m:oMath>
        <m:r>
          <m:t>a</m:t>
        </m:r>
        <m:r>
          <m:rPr>
            <m:sty m:val="p"/>
          </m:rPr>
          <m:t>,</m:t>
        </m:r>
        <m:r>
          <m:t>b</m:t>
        </m:r>
      </m:oMath>
      <w:r>
        <w:t xml:space="preserve">, where</w:t>
      </w:r>
    </w:p>
    <w:p>
      <w:pPr>
        <w:numPr>
          <w:ilvl w:val="0"/>
          <w:numId w:val="1001"/>
        </w:numPr>
      </w:pPr>
      <m:oMath>
        <m:r>
          <m:t>a</m:t>
        </m:r>
      </m:oMath>
      <w:r>
        <w:t xml:space="preserve"> </w:t>
      </w:r>
      <w:r>
        <w:t xml:space="preserve">is the minimum value of an outcome,</w:t>
      </w:r>
    </w:p>
    <w:p>
      <w:pPr>
        <w:numPr>
          <w:ilvl w:val="0"/>
          <w:numId w:val="1001"/>
        </w:numPr>
      </w:pPr>
      <m:oMath>
        <m:r>
          <m:t>b</m:t>
        </m:r>
      </m:oMath>
      <w:r>
        <w:t xml:space="preserve"> </w:t>
      </w:r>
      <w:r>
        <w:t xml:space="preserve">is the maximum value of an outcome.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228"/>
        <w:gridCol w:w="3960"/>
        <w:gridCol w:w="27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Quantity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Mean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E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r>
                    <m:t>a</m:t>
                  </m:r>
                  <m:r>
                    <m:rPr>
                      <m:sty m:val="p"/>
                    </m:rPr>
                    <m:t>+</m:t>
                  </m:r>
                  <m:r>
                    <m:t>b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Variance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V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f>
                <m:fPr>
                  <m:type m:val="bar"/>
                </m:fPr>
                <m:num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b</m:t>
                          </m:r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a</m:t>
                          </m:r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12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d>
                <m:dPr>
                  <m:begChr m:val="{"/>
                  <m:endChr m:val=""/>
                  <m:sepChr m:val=""/>
                  <m:grow/>
                </m:dPr>
                <m:e>
                  <m:m>
                    <m:mPr>
                      <m:baseJc m:val="center"/>
                      <m:plcHide m:val="on"/>
                      <m:mcs>
                        <m:mc>
                          <m:mcPr>
                            <m:mcJc m:val="left"/>
                            <m:count m:val="1"/>
                          </m:mcPr>
                        </m:mc>
                        <m:mc>
                          <m:mcPr>
                            <m:mcJc m:val="left"/>
                            <m:count m:val="1"/>
                          </m:mcPr>
                        </m:mc>
                      </m:mcs>
                    </m:mPr>
                    <m:m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t>1</m:t>
                            </m:r>
                          </m:num>
                          <m:den>
                            <m:r>
                              <m:t>b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a</m:t>
                            </m:r>
                          </m:den>
                        </m:f>
                      </m:e>
                      <m:e>
                        <m:r>
                          <m:rPr>
                            <m:nor/>
                            <m:sty m:val="p"/>
                            <m:scr m:val="sans-serif"/>
                          </m:rPr>
                          <m:t>if </m:t>
                        </m:r>
                        <m:r>
                          <m:t>a</m:t>
                        </m:r>
                        <m:r>
                          <m:rPr>
                            <m:sty m:val="p"/>
                          </m:rPr>
                          <m:t>≤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≤</m:t>
                        </m:r>
                        <m:r>
                          <m:t>b</m:t>
                        </m:r>
                      </m:e>
                    </m:mr>
                    <m:mr>
                      <m:e>
                        <m:r>
                          <m:t>0</m:t>
                        </m:r>
                      </m:e>
                      <m:e>
                        <m:r>
                          <m:rPr>
                            <m:nor/>
                            <m:sty m:val="p"/>
                            <m:scr m:val="sans-serif"/>
                          </m:rPr>
                          <m:t>otherwise</m:t>
                        </m:r>
                      </m:e>
                    </m:mr>
                  </m:m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CDF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rPr>
                  <m:sty m:val="p"/>
                  <m:scr m:val="double-struck"/>
                </m:rP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≤</m:t>
                  </m:r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d>
                <m:dPr>
                  <m:begChr m:val="{"/>
                  <m:endChr m:val=""/>
                  <m:sepChr m:val=""/>
                  <m:grow/>
                </m:dPr>
                <m:e>
                  <m:m>
                    <m:mPr>
                      <m:baseJc m:val="center"/>
                      <m:plcHide m:val="on"/>
                      <m:mcs>
                        <m:mc>
                          <m:mcPr>
                            <m:mcJc m:val="left"/>
                            <m:count m:val="1"/>
                          </m:mcPr>
                        </m:mc>
                        <m:mc>
                          <m:mcPr>
                            <m:mcJc m:val="left"/>
                            <m:count m:val="1"/>
                          </m:mcPr>
                        </m:mc>
                      </m:mcs>
                    </m:mPr>
                    <m:mr>
                      <m:e>
                        <m:r>
                          <m:t>0</m:t>
                        </m:r>
                      </m:e>
                      <m:e>
                        <m:r>
                          <m:rPr>
                            <m:nor/>
                            <m:sty m:val="p"/>
                            <m:scr m:val="sans-serif"/>
                          </m:rPr>
                          <m:t>if 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&lt;</m:t>
                        </m:r>
                        <m:r>
                          <m:t>a</m:t>
                        </m:r>
                      </m:e>
                    </m:mr>
                    <m:m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t>x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a</m:t>
                            </m:r>
                          </m:num>
                          <m:den>
                            <m:r>
                              <m:t>b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a</m:t>
                            </m:r>
                          </m:den>
                        </m:f>
                      </m:e>
                      <m:e>
                        <m:r>
                          <m:rPr>
                            <m:nor/>
                            <m:sty m:val="p"/>
                            <m:scr m:val="sans-serif"/>
                          </m:rPr>
                          <m:t>if </m:t>
                        </m:r>
                        <m:r>
                          <m:t>a</m:t>
                        </m:r>
                        <m:r>
                          <m:rPr>
                            <m:sty m:val="p"/>
                          </m:rPr>
                          <m:t>≤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≤</m:t>
                        </m:r>
                        <m:r>
                          <m:t>b</m:t>
                        </m:r>
                      </m:e>
                    </m:mr>
                    <m:mr>
                      <m:e>
                        <m:r>
                          <m:t>1</m:t>
                        </m:r>
                      </m:e>
                      <m:e>
                        <m:r>
                          <m:rPr>
                            <m:nor/>
                            <m:sty m:val="p"/>
                            <m:scr m:val="sans-serif"/>
                          </m:rPr>
                          <m:t>if </m:t>
                        </m:r>
                        <m:r>
                          <m:t>x</m:t>
                        </m:r>
                        <m:r>
                          <m:rPr>
                            <m:sty m:val="p"/>
                          </m:rPr>
                          <m:t>&gt;</m:t>
                        </m:r>
                        <m:r>
                          <m:t>b</m:t>
                        </m:r>
                      </m:e>
                    </m:mr>
                  </m:m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rPr>
          <w:b/>
          <w:bCs/>
        </w:rPr>
        <w:t xml:space="preserve">Example:</w:t>
      </w:r>
      <w:r>
        <w:t xml:space="preserve"> </w:t>
      </w:r>
      <w:r>
        <w:t xml:space="preserve">A machine from Cantor’s Confectionery is programmed to chop long candy bars into pieces, each with a length between 30 millimetres to 50 millimetres. Due to variations in the machine, each continuous value between this interval is equally likely. This can be expressed as</w:t>
      </w:r>
      <w:r>
        <w:t xml:space="preserve"> </w:t>
      </w:r>
      <m:oMath>
        <m:r>
          <m:t>X</m:t>
        </m:r>
        <m:r>
          <m:rPr>
            <m:sty m:val="p"/>
          </m:rPr>
          <m:t>∼</m:t>
        </m:r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30</m:t>
            </m:r>
            <m:r>
              <m:rPr>
                <m:sty m:val="p"/>
              </m:rPr>
              <m:t>,</m:t>
            </m:r>
            <m:r>
              <m:t>50</m:t>
            </m:r>
          </m:e>
        </m:d>
      </m:oMath>
      <w:r>
        <w:t xml:space="preserve">. It means 30 is the minimum value and 50 is the maximum value, where all continuous values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t>30</m:t>
        </m:r>
        <m:r>
          <m:rPr>
            <m:sty m:val="p"/>
          </m:rPr>
          <m:t>≤</m:t>
        </m:r>
        <m:r>
          <m:t>x</m:t>
        </m:r>
        <m:r>
          <m:rPr>
            <m:sty m:val="p"/>
          </m:rPr>
          <m:t>≤</m:t>
        </m:r>
        <m:r>
          <m:t>50</m:t>
        </m:r>
      </m:oMath>
      <w:r>
        <w:t xml:space="preserve"> </w:t>
      </w:r>
      <w:r>
        <w:t xml:space="preserve">are equally likely.</w:t>
      </w:r>
    </w:p>
    <w:bookmarkStart w:id="26" w:name="further-reading"/>
    <w:p>
      <w:pPr>
        <w:pStyle w:val="Heading1"/>
      </w:pPr>
      <w:r>
        <w:t xml:space="preserve">Further reading</w:t>
      </w:r>
    </w:p>
    <w:p>
      <w:pPr>
        <w:pStyle w:val="FirstParagraph"/>
      </w:pPr>
      <w:r>
        <w:t xml:space="preserve">This interactive element appears in</w:t>
      </w:r>
      <w:r>
        <w:t xml:space="preserve"> </w:t>
      </w:r>
      <w:hyperlink r:id="rId23">
        <w:r>
          <w:rPr>
            <w:rStyle w:val="Hyperlink"/>
          </w:rPr>
          <w:t xml:space="preserve">Overview: Probability distributions.</w:t>
        </w:r>
      </w:hyperlink>
    </w:p>
    <w:bookmarkStart w:id="25" w:name="version-history"/>
    <w:p>
      <w:pPr>
        <w:pStyle w:val="Heading2"/>
      </w:pPr>
      <w:r>
        <w:t xml:space="preserve">Version history</w:t>
      </w:r>
    </w:p>
    <w:p>
      <w:pPr>
        <w:pStyle w:val="FirstParagraph"/>
      </w:pPr>
      <w:r>
        <w:t xml:space="preserve">v1.0: initial version created 08/25 by tdhc.</w:t>
      </w:r>
    </w:p>
    <w:p>
      <w:pPr>
        <w:pStyle w:val="BodyText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376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80351D"/>
    <w:rsid w:val="009C61B8"/>
    <w:rsid w:val="00A64C02"/>
    <w:rsid w:val="00BE1677"/>
    <w:rsid w:val="00CF4D08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overviews/o-distribution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Continuous uniform distribution</dc:title>
  <dc:creator>Michelle Arnetta and Tom Coleman</dc:creator>
  <cp:keywords/>
  <dcterms:created xsi:type="dcterms:W3CDTF">2025-08-29T12:19:18Z</dcterms:created>
  <dcterms:modified xsi:type="dcterms:W3CDTF">2025-08-29T12:19:18Z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factsheet for the continuous uniform distribution.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